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BD63" w14:textId="08929598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</w:t>
      </w:r>
      <w:r w:rsidR="004E59C2">
        <w:rPr>
          <w:rFonts w:ascii="Century Gothic" w:eastAsia="Times New Roman" w:hAnsi="Century Gothic"/>
          <w:bCs/>
          <w:iCs/>
        </w:rPr>
        <w:t>11</w:t>
      </w:r>
      <w:r w:rsidR="00E41893">
        <w:rPr>
          <w:rFonts w:ascii="Century Gothic" w:eastAsia="Times New Roman" w:hAnsi="Century Gothic"/>
          <w:bCs/>
          <w:iCs/>
        </w:rPr>
        <w:t>3</w:t>
      </w:r>
      <w:r w:rsidR="00DE0E87">
        <w:rPr>
          <w:rFonts w:ascii="Century Gothic" w:eastAsia="Times New Roman" w:hAnsi="Century Gothic"/>
          <w:bCs/>
          <w:iCs/>
        </w:rPr>
        <w:t>.</w:t>
      </w:r>
      <w:r w:rsidR="002F0999">
        <w:rPr>
          <w:rFonts w:ascii="Century Gothic" w:eastAsia="Times New Roman" w:hAnsi="Century Gothic"/>
          <w:bCs/>
          <w:iCs/>
        </w:rPr>
        <w:t>04</w:t>
      </w:r>
      <w:r w:rsidR="00DE0E87">
        <w:rPr>
          <w:rFonts w:ascii="Century Gothic" w:eastAsia="Times New Roman" w:hAnsi="Century Gothic"/>
          <w:bCs/>
          <w:iCs/>
        </w:rPr>
        <w:t>.</w:t>
      </w:r>
      <w:r w:rsidR="00350F7F">
        <w:rPr>
          <w:rFonts w:ascii="Century Gothic" w:eastAsia="Times New Roman" w:hAnsi="Century Gothic"/>
          <w:bCs/>
          <w:iCs/>
        </w:rPr>
        <w:t>2025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15125FAE" w14:textId="0C4155DD" w:rsidR="00204BE6" w:rsidRDefault="002F0999" w:rsidP="00204BE6">
      <w:pPr>
        <w:jc w:val="both"/>
        <w:rPr>
          <w:rFonts w:ascii="Century Gothic" w:hAnsi="Century Gothic" w:cs="Tahoma"/>
        </w:rPr>
      </w:pPr>
      <w:bookmarkStart w:id="0" w:name="_Hlk145317748"/>
      <w:r w:rsidRPr="002F0999">
        <w:rPr>
          <w:rFonts w:ascii="Century Gothic" w:hAnsi="Century Gothic" w:cs="Tahoma"/>
          <w:b/>
        </w:rPr>
        <w:t>Zadanie 1</w:t>
      </w:r>
      <w:r>
        <w:rPr>
          <w:rFonts w:ascii="Century Gothic" w:hAnsi="Century Gothic" w:cs="Tahoma"/>
        </w:rPr>
        <w:t xml:space="preserve"> </w:t>
      </w:r>
      <w:r w:rsidR="00D14E0F">
        <w:rPr>
          <w:rFonts w:ascii="Century Gothic" w:hAnsi="Century Gothic" w:cs="Tahoma"/>
        </w:rPr>
        <w:t>U</w:t>
      </w:r>
      <w:r w:rsidR="00D14E0F" w:rsidRPr="000C62A9">
        <w:rPr>
          <w:rFonts w:ascii="Century Gothic" w:hAnsi="Century Gothic" w:cs="Tahoma"/>
        </w:rPr>
        <w:t>dzielani</w:t>
      </w:r>
      <w:r w:rsidR="00D14E0F">
        <w:rPr>
          <w:rFonts w:ascii="Century Gothic" w:hAnsi="Century Gothic" w:cs="Tahoma"/>
        </w:rPr>
        <w:t>e</w:t>
      </w:r>
      <w:r w:rsidR="00D14E0F" w:rsidRPr="000C62A9">
        <w:rPr>
          <w:rFonts w:ascii="Century Gothic" w:hAnsi="Century Gothic" w:cs="Tahoma"/>
        </w:rPr>
        <w:t xml:space="preserve"> </w:t>
      </w:r>
      <w:r w:rsidR="00F97992">
        <w:rPr>
          <w:rFonts w:ascii="Century Gothic" w:hAnsi="Century Gothic" w:cs="Tahoma"/>
        </w:rPr>
        <w:t>a</w:t>
      </w:r>
      <w:r w:rsidR="00D14E0F">
        <w:rPr>
          <w:rFonts w:ascii="Century Gothic" w:hAnsi="Century Gothic" w:cs="Tahoma"/>
        </w:rPr>
        <w:t xml:space="preserve">mbulatoryjnych </w:t>
      </w:r>
      <w:r w:rsidR="00D14E0F" w:rsidRPr="000C62A9">
        <w:rPr>
          <w:rFonts w:ascii="Century Gothic" w:hAnsi="Century Gothic" w:cs="Tahoma"/>
        </w:rPr>
        <w:t xml:space="preserve">świadczeń zdrowotnych </w:t>
      </w:r>
      <w:r w:rsidR="00D14E0F" w:rsidRPr="000C62A9">
        <w:rPr>
          <w:rFonts w:ascii="Century Gothic" w:hAnsi="Century Gothic" w:cs="Tahoma"/>
          <w:bCs/>
        </w:rPr>
        <w:t xml:space="preserve">w zakresie </w:t>
      </w:r>
      <w:r w:rsidR="00D14E0F" w:rsidRPr="00596362">
        <w:rPr>
          <w:rFonts w:ascii="Century Gothic" w:hAnsi="Century Gothic" w:cs="Tahoma"/>
          <w:bCs/>
        </w:rPr>
        <w:t xml:space="preserve">onkologii </w:t>
      </w:r>
      <w:r w:rsidR="00D14E0F" w:rsidRPr="00A5560F">
        <w:rPr>
          <w:rFonts w:ascii="Century Gothic" w:hAnsi="Century Gothic"/>
          <w:bCs/>
          <w:iCs/>
        </w:rPr>
        <w:t>pacjentom</w:t>
      </w:r>
      <w:r>
        <w:rPr>
          <w:rFonts w:ascii="Century Gothic" w:hAnsi="Century Gothic"/>
          <w:bCs/>
          <w:iCs/>
        </w:rPr>
        <w:t xml:space="preserve"> </w:t>
      </w:r>
      <w:r w:rsidR="00D14E0F">
        <w:rPr>
          <w:rFonts w:ascii="Century Gothic" w:hAnsi="Century Gothic"/>
          <w:bCs/>
          <w:iCs/>
        </w:rPr>
        <w:t>W</w:t>
      </w:r>
      <w:r w:rsidR="00D14E0F" w:rsidRPr="00A5560F">
        <w:rPr>
          <w:rFonts w:ascii="Century Gothic" w:hAnsi="Century Gothic"/>
          <w:bCs/>
          <w:iCs/>
        </w:rPr>
        <w:t>MCCP w Olsztynie</w:t>
      </w:r>
      <w:r w:rsidR="00D14E0F" w:rsidRPr="00A5560F">
        <w:rPr>
          <w:rFonts w:ascii="Century Gothic" w:hAnsi="Century Gothic" w:cs="Tahoma"/>
        </w:rPr>
        <w:t>.</w:t>
      </w:r>
    </w:p>
    <w:p w14:paraId="25C03A09" w14:textId="2A6D6F09" w:rsidR="00F97992" w:rsidRDefault="00F97992" w:rsidP="00F97992">
      <w:pPr>
        <w:jc w:val="both"/>
        <w:rPr>
          <w:rFonts w:ascii="Century Gothic" w:hAnsi="Century Gothic" w:cs="Tahoma"/>
        </w:rPr>
      </w:pPr>
      <w:r w:rsidRPr="002F0999">
        <w:rPr>
          <w:rFonts w:ascii="Century Gothic" w:hAnsi="Century Gothic" w:cs="Tahoma"/>
          <w:b/>
        </w:rPr>
        <w:t xml:space="preserve">Zadanie </w:t>
      </w:r>
      <w:r>
        <w:rPr>
          <w:rFonts w:ascii="Century Gothic" w:hAnsi="Century Gothic" w:cs="Tahoma"/>
          <w:b/>
        </w:rPr>
        <w:t>2</w:t>
      </w:r>
      <w:r>
        <w:rPr>
          <w:rFonts w:ascii="Century Gothic" w:hAnsi="Century Gothic" w:cs="Tahoma"/>
        </w:rPr>
        <w:t xml:space="preserve"> U</w:t>
      </w:r>
      <w:r w:rsidRPr="000C62A9">
        <w:rPr>
          <w:rFonts w:ascii="Century Gothic" w:hAnsi="Century Gothic" w:cs="Tahoma"/>
        </w:rPr>
        <w:t>dzielani</w:t>
      </w:r>
      <w:r>
        <w:rPr>
          <w:rFonts w:ascii="Century Gothic" w:hAnsi="Century Gothic" w:cs="Tahoma"/>
        </w:rPr>
        <w:t>e</w:t>
      </w:r>
      <w:r w:rsidRPr="000C62A9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szpitalnych i</w:t>
      </w:r>
      <w:r w:rsidR="007D44A8">
        <w:rPr>
          <w:rFonts w:ascii="Century Gothic" w:hAnsi="Century Gothic" w:cs="Tahoma"/>
        </w:rPr>
        <w:t>/lub</w:t>
      </w:r>
      <w:r>
        <w:rPr>
          <w:rFonts w:ascii="Century Gothic" w:hAnsi="Century Gothic" w:cs="Tahoma"/>
        </w:rPr>
        <w:t xml:space="preserve"> ambulatoryjnych </w:t>
      </w:r>
      <w:r w:rsidRPr="000C62A9">
        <w:rPr>
          <w:rFonts w:ascii="Century Gothic" w:hAnsi="Century Gothic" w:cs="Tahoma"/>
        </w:rPr>
        <w:t xml:space="preserve">świadczeń zdrowotnych </w:t>
      </w:r>
      <w:r w:rsidRPr="000C62A9">
        <w:rPr>
          <w:rFonts w:ascii="Century Gothic" w:hAnsi="Century Gothic" w:cs="Tahoma"/>
          <w:bCs/>
        </w:rPr>
        <w:t xml:space="preserve">w zakresie </w:t>
      </w:r>
      <w:r w:rsidRPr="00596362">
        <w:rPr>
          <w:rFonts w:ascii="Century Gothic" w:hAnsi="Century Gothic" w:cs="Tahoma"/>
          <w:bCs/>
        </w:rPr>
        <w:t xml:space="preserve">onkologii </w:t>
      </w:r>
      <w:r w:rsidRPr="001038E6">
        <w:rPr>
          <w:rFonts w:ascii="Century Gothic" w:hAnsi="Century Gothic" w:cs="Tahoma"/>
          <w:bCs/>
        </w:rPr>
        <w:t xml:space="preserve">klinicznej </w:t>
      </w:r>
      <w:r w:rsidRPr="00A5560F">
        <w:rPr>
          <w:rFonts w:ascii="Century Gothic" w:hAnsi="Century Gothic"/>
          <w:bCs/>
          <w:iCs/>
        </w:rPr>
        <w:t>pacjentom</w:t>
      </w:r>
      <w:r>
        <w:rPr>
          <w:rFonts w:ascii="Century Gothic" w:hAnsi="Century Gothic"/>
          <w:bCs/>
          <w:iCs/>
        </w:rPr>
        <w:t xml:space="preserve"> W</w:t>
      </w:r>
      <w:r w:rsidRPr="00A5560F">
        <w:rPr>
          <w:rFonts w:ascii="Century Gothic" w:hAnsi="Century Gothic"/>
          <w:bCs/>
          <w:iCs/>
        </w:rPr>
        <w:t>MCCP w Olsztynie</w:t>
      </w:r>
      <w:r w:rsidRPr="00A5560F">
        <w:rPr>
          <w:rFonts w:ascii="Century Gothic" w:hAnsi="Century Gothic" w:cs="Tahoma"/>
        </w:rPr>
        <w:t>.</w:t>
      </w:r>
    </w:p>
    <w:p w14:paraId="1D4ABA97" w14:textId="543EDE66" w:rsidR="002F0999" w:rsidRPr="009369DB" w:rsidRDefault="002F0999" w:rsidP="00204BE6">
      <w:pPr>
        <w:jc w:val="both"/>
        <w:rPr>
          <w:rFonts w:ascii="Century Gothic" w:hAnsi="Century Gothic"/>
          <w:bCs/>
          <w:iCs/>
        </w:rPr>
      </w:pPr>
      <w:r w:rsidRPr="002F0999">
        <w:rPr>
          <w:rFonts w:ascii="Century Gothic" w:hAnsi="Century Gothic" w:cs="Tahoma"/>
          <w:b/>
        </w:rPr>
        <w:t xml:space="preserve">Zadanie </w:t>
      </w:r>
      <w:r w:rsidR="00F97992">
        <w:rPr>
          <w:rFonts w:ascii="Century Gothic" w:hAnsi="Century Gothic" w:cs="Tahoma"/>
          <w:b/>
        </w:rPr>
        <w:t>3</w:t>
      </w:r>
      <w:r>
        <w:rPr>
          <w:rFonts w:ascii="Century Gothic" w:hAnsi="Century Gothic" w:cs="Tahoma"/>
        </w:rPr>
        <w:t xml:space="preserve"> </w:t>
      </w:r>
      <w:r w:rsidRPr="00FD0D96">
        <w:rPr>
          <w:rFonts w:ascii="Century Gothic" w:hAnsi="Century Gothic"/>
          <w:bCs/>
          <w:iCs/>
        </w:rPr>
        <w:t xml:space="preserve">Udzielanie świadczeń zdrowotnych pacjentom WMCCP w Izbie Przyjęć oraz </w:t>
      </w:r>
      <w:r w:rsidRPr="00FD0D96">
        <w:rPr>
          <w:rFonts w:ascii="Century Gothic" w:hAnsi="Century Gothic"/>
          <w:bCs/>
          <w:iCs/>
        </w:rPr>
        <w:br/>
        <w:t>w oddziałach WMCCP poza normalną ordynacją (dyżur medyczny)</w:t>
      </w:r>
      <w:r>
        <w:rPr>
          <w:rFonts w:ascii="Century Gothic" w:hAnsi="Century Gothic"/>
          <w:bCs/>
          <w:iCs/>
        </w:rPr>
        <w:t>.</w:t>
      </w:r>
    </w:p>
    <w:bookmarkEnd w:id="0"/>
    <w:p w14:paraId="2FC4A471" w14:textId="1ACBFFAA" w:rsidR="00D62125" w:rsidRPr="001577A9" w:rsidRDefault="00D62125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EB3F66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74242D4E" w:rsidR="00CD6FBE" w:rsidRPr="007734A3" w:rsidRDefault="00CD6FBE" w:rsidP="00E276D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7734A3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 w:rsidRPr="007734A3">
        <w:rPr>
          <w:rFonts w:ascii="Century Gothic" w:hAnsi="Century Gothic" w:cs="Tahoma"/>
        </w:rPr>
        <w:br/>
      </w:r>
      <w:r w:rsidR="00350F7F" w:rsidRPr="007734A3">
        <w:rPr>
          <w:rFonts w:ascii="Century Gothic" w:hAnsi="Century Gothic" w:cs="Tahoma"/>
        </w:rPr>
        <w:t>W</w:t>
      </w:r>
      <w:r w:rsidRPr="007734A3">
        <w:rPr>
          <w:rFonts w:ascii="Century Gothic" w:hAnsi="Century Gothic" w:cs="Tahoma"/>
        </w:rPr>
        <w:t xml:space="preserve">MCCP w sekretariacie do dnia </w:t>
      </w:r>
      <w:r w:rsidR="007734A3" w:rsidRPr="007734A3">
        <w:rPr>
          <w:rFonts w:ascii="Century Gothic" w:hAnsi="Century Gothic" w:cs="Tahoma"/>
          <w:b/>
          <w:bCs/>
        </w:rPr>
        <w:t>1</w:t>
      </w:r>
      <w:r w:rsidR="00E41893">
        <w:rPr>
          <w:rFonts w:ascii="Century Gothic" w:hAnsi="Century Gothic" w:cs="Tahoma"/>
          <w:b/>
          <w:bCs/>
        </w:rPr>
        <w:t>7</w:t>
      </w:r>
      <w:r w:rsidR="000711D8" w:rsidRPr="007734A3">
        <w:rPr>
          <w:rFonts w:ascii="Century Gothic" w:hAnsi="Century Gothic" w:cs="Tahoma"/>
          <w:b/>
          <w:bCs/>
        </w:rPr>
        <w:t>.</w:t>
      </w:r>
      <w:r w:rsidR="007734A3" w:rsidRPr="007734A3">
        <w:rPr>
          <w:rFonts w:ascii="Century Gothic" w:hAnsi="Century Gothic" w:cs="Tahoma"/>
          <w:b/>
          <w:bCs/>
        </w:rPr>
        <w:t>02</w:t>
      </w:r>
      <w:r w:rsidR="00C27AB0" w:rsidRPr="007734A3">
        <w:rPr>
          <w:rFonts w:ascii="Century Gothic" w:hAnsi="Century Gothic" w:cs="Tahoma"/>
          <w:b/>
          <w:bCs/>
        </w:rPr>
        <w:t>.</w:t>
      </w:r>
      <w:r w:rsidR="00350F7F" w:rsidRPr="007734A3">
        <w:rPr>
          <w:rFonts w:ascii="Century Gothic" w:hAnsi="Century Gothic" w:cs="Tahoma"/>
          <w:b/>
          <w:bCs/>
        </w:rPr>
        <w:t>2025</w:t>
      </w:r>
      <w:r w:rsidRPr="007734A3">
        <w:rPr>
          <w:rFonts w:ascii="Century Gothic" w:hAnsi="Century Gothic" w:cs="Tahoma"/>
        </w:rPr>
        <w:t xml:space="preserve"> roku do godz. </w:t>
      </w:r>
      <w:r w:rsidR="00350F7F" w:rsidRPr="007734A3">
        <w:rPr>
          <w:rFonts w:ascii="Century Gothic" w:hAnsi="Century Gothic" w:cs="Tahoma"/>
        </w:rPr>
        <w:t>11</w:t>
      </w:r>
      <w:r w:rsidRPr="007734A3">
        <w:rPr>
          <w:rFonts w:ascii="Century Gothic" w:hAnsi="Century Gothic" w:cs="Tahoma"/>
        </w:rPr>
        <w:t xml:space="preserve">:00 w zamkniętej opisanej kopercie z podaną nazwą oferenta, w tym imieniem, nazwiskiem, adresem </w:t>
      </w:r>
      <w:r w:rsidR="001D7C69" w:rsidRPr="007734A3">
        <w:rPr>
          <w:rFonts w:ascii="Century Gothic" w:hAnsi="Century Gothic" w:cs="Tahoma"/>
        </w:rPr>
        <w:br/>
      </w:r>
      <w:r w:rsidRPr="007734A3">
        <w:rPr>
          <w:rFonts w:ascii="Century Gothic" w:hAnsi="Century Gothic" w:cs="Tahoma"/>
        </w:rPr>
        <w:t xml:space="preserve">i telefonem wraz z oznaczeniem postępowania i informacją „Konkurs ofert – oferta na </w:t>
      </w:r>
      <w:r w:rsidR="004275BF" w:rsidRPr="007734A3">
        <w:rPr>
          <w:rFonts w:ascii="Century Gothic" w:hAnsi="Century Gothic" w:cs="Tahoma"/>
        </w:rPr>
        <w:t xml:space="preserve">udzielanie </w:t>
      </w:r>
      <w:r w:rsidR="007734A3" w:rsidRPr="007734A3">
        <w:rPr>
          <w:rFonts w:ascii="Century Gothic" w:hAnsi="Century Gothic" w:cs="Tahoma"/>
        </w:rPr>
        <w:t>…………………………………………</w:t>
      </w:r>
      <w:r w:rsidR="007734A3">
        <w:rPr>
          <w:rFonts w:ascii="Century Gothic" w:hAnsi="Century Gothic" w:cs="Tahoma"/>
        </w:rPr>
        <w:t>…….</w:t>
      </w:r>
      <w:r w:rsidR="000B39EB" w:rsidRPr="007734A3">
        <w:rPr>
          <w:rFonts w:ascii="Century Gothic" w:hAnsi="Century Gothic" w:cs="Tahoma"/>
        </w:rPr>
        <w:t>,</w:t>
      </w:r>
      <w:r w:rsidRPr="007734A3">
        <w:rPr>
          <w:rFonts w:ascii="Century Gothic" w:hAnsi="Century Gothic" w:cs="Tahoma"/>
        </w:rPr>
        <w:t xml:space="preserve"> zgodnie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11F731A1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F2B31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dyrektora ds. medycznych,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7734A3">
        <w:rPr>
          <w:rFonts w:ascii="Century Gothic" w:hAnsi="Century Gothic" w:cs="Tahoma"/>
          <w:b/>
          <w:bCs/>
          <w:sz w:val="20"/>
          <w:szCs w:val="20"/>
          <w:lang w:val="pl-PL"/>
        </w:rPr>
        <w:t>1</w:t>
      </w:r>
      <w:r w:rsidR="00E41893">
        <w:rPr>
          <w:rFonts w:ascii="Century Gothic" w:hAnsi="Century Gothic" w:cs="Tahoma"/>
          <w:b/>
          <w:bCs/>
          <w:sz w:val="20"/>
          <w:szCs w:val="20"/>
          <w:lang w:val="pl-PL"/>
        </w:rPr>
        <w:t>7</w:t>
      </w:r>
      <w:r w:rsidR="000711D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7734A3">
        <w:rPr>
          <w:rFonts w:ascii="Century Gothic" w:hAnsi="Century Gothic" w:cs="Tahoma"/>
          <w:b/>
          <w:bCs/>
          <w:sz w:val="20"/>
          <w:szCs w:val="20"/>
          <w:lang w:val="pl-PL"/>
        </w:rPr>
        <w:t>02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350F7F">
        <w:rPr>
          <w:rFonts w:ascii="Century Gothic" w:hAnsi="Century Gothic" w:cs="Tahoma"/>
          <w:b/>
          <w:bCs/>
          <w:sz w:val="20"/>
          <w:szCs w:val="20"/>
          <w:lang w:val="pl-PL"/>
        </w:rPr>
        <w:t>2025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 w:rsidR="00350F7F">
        <w:rPr>
          <w:rFonts w:ascii="Century Gothic" w:hAnsi="Century Gothic" w:cs="Tahoma"/>
          <w:sz w:val="20"/>
          <w:szCs w:val="20"/>
          <w:lang w:val="pl-PL"/>
        </w:rPr>
        <w:t>12</w:t>
      </w:r>
      <w:r w:rsidRPr="005F2B31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1A183F08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7734A3">
        <w:rPr>
          <w:rFonts w:ascii="Century Gothic" w:hAnsi="Century Gothic" w:cs="Tahoma"/>
          <w:b/>
          <w:sz w:val="20"/>
          <w:szCs w:val="20"/>
        </w:rPr>
        <w:t>1</w:t>
      </w:r>
      <w:r w:rsidR="00E41893">
        <w:rPr>
          <w:rFonts w:ascii="Century Gothic" w:hAnsi="Century Gothic" w:cs="Tahoma"/>
          <w:b/>
          <w:sz w:val="20"/>
          <w:szCs w:val="20"/>
        </w:rPr>
        <w:t>9</w:t>
      </w:r>
      <w:r w:rsidR="00D71233">
        <w:rPr>
          <w:rFonts w:ascii="Century Gothic" w:hAnsi="Century Gothic" w:cs="Tahoma"/>
          <w:b/>
          <w:sz w:val="20"/>
          <w:szCs w:val="20"/>
        </w:rPr>
        <w:t>.</w:t>
      </w:r>
      <w:r w:rsidR="007734A3">
        <w:rPr>
          <w:rFonts w:ascii="Century Gothic" w:hAnsi="Century Gothic" w:cs="Tahoma"/>
          <w:b/>
          <w:sz w:val="20"/>
          <w:szCs w:val="20"/>
        </w:rPr>
        <w:t>02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350F7F">
        <w:rPr>
          <w:rFonts w:ascii="Century Gothic" w:hAnsi="Century Gothic" w:cs="Tahoma"/>
          <w:b/>
          <w:sz w:val="20"/>
          <w:szCs w:val="20"/>
        </w:rPr>
        <w:t>2025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59464824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137008">
        <w:rPr>
          <w:rFonts w:ascii="Century Gothic" w:hAnsi="Century Gothic"/>
          <w:iCs/>
          <w:sz w:val="20"/>
          <w:szCs w:val="20"/>
        </w:rPr>
        <w:t>38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05250FCA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7734A3">
        <w:rPr>
          <w:rFonts w:ascii="Century Gothic" w:eastAsia="Times New Roman" w:hAnsi="Century Gothic"/>
          <w:iCs/>
        </w:rPr>
        <w:t>0</w:t>
      </w:r>
      <w:r w:rsidR="00E41893">
        <w:rPr>
          <w:rFonts w:ascii="Century Gothic" w:eastAsia="Times New Roman" w:hAnsi="Century Gothic"/>
          <w:iCs/>
        </w:rPr>
        <w:t>7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7734A3">
        <w:rPr>
          <w:rFonts w:ascii="Century Gothic" w:eastAsia="Times New Roman" w:hAnsi="Century Gothic"/>
          <w:iCs/>
        </w:rPr>
        <w:t>02</w:t>
      </w:r>
      <w:r w:rsidR="00C27AB0" w:rsidRPr="005F2B31">
        <w:rPr>
          <w:rFonts w:ascii="Century Gothic" w:eastAsia="Times New Roman" w:hAnsi="Century Gothic"/>
          <w:iCs/>
        </w:rPr>
        <w:t>.</w:t>
      </w:r>
      <w:r w:rsidR="00350F7F">
        <w:rPr>
          <w:rFonts w:ascii="Century Gothic" w:eastAsia="Times New Roman" w:hAnsi="Century Gothic"/>
          <w:iCs/>
        </w:rPr>
        <w:t>2025</w:t>
      </w:r>
      <w:r w:rsidR="00743F70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1B16819B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4976E36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0FE9835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2220ACF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1F059439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34140D4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0F29666C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</w:t>
      </w:r>
      <w:r w:rsidRPr="002913E3">
        <w:rPr>
          <w:rFonts w:ascii="Century Gothic" w:hAnsi="Century Gothic" w:cs="Calibri"/>
          <w:color w:val="000000"/>
        </w:rPr>
        <w:lastRenderedPageBreak/>
        <w:t xml:space="preserve">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lastRenderedPageBreak/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7E94DFD2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6DD2BBAE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>
        <w:rPr>
          <w:rFonts w:ascii="Century Gothic" w:eastAsia="Times New Roman" w:hAnsi="Century Gothic"/>
          <w:b/>
          <w:bCs/>
        </w:rPr>
        <w:t>W-MCCP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12312">
    <w:abstractNumId w:val="8"/>
  </w:num>
  <w:num w:numId="2" w16cid:durableId="423721353">
    <w:abstractNumId w:val="9"/>
  </w:num>
  <w:num w:numId="3" w16cid:durableId="1402488986">
    <w:abstractNumId w:val="2"/>
  </w:num>
  <w:num w:numId="4" w16cid:durableId="1023748488">
    <w:abstractNumId w:val="0"/>
  </w:num>
  <w:num w:numId="5" w16cid:durableId="187105329">
    <w:abstractNumId w:val="4"/>
  </w:num>
  <w:num w:numId="6" w16cid:durableId="1449003610">
    <w:abstractNumId w:val="7"/>
  </w:num>
  <w:num w:numId="7" w16cid:durableId="567040551">
    <w:abstractNumId w:val="5"/>
  </w:num>
  <w:num w:numId="8" w16cid:durableId="851646570">
    <w:abstractNumId w:val="6"/>
  </w:num>
  <w:num w:numId="9" w16cid:durableId="1597251792">
    <w:abstractNumId w:val="3"/>
  </w:num>
  <w:num w:numId="10" w16cid:durableId="1319128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117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67125"/>
    <w:rsid w:val="000711D8"/>
    <w:rsid w:val="000767EC"/>
    <w:rsid w:val="000816EE"/>
    <w:rsid w:val="00083846"/>
    <w:rsid w:val="0009138D"/>
    <w:rsid w:val="00094B65"/>
    <w:rsid w:val="0009516B"/>
    <w:rsid w:val="000A2575"/>
    <w:rsid w:val="000B39EB"/>
    <w:rsid w:val="000B3C1A"/>
    <w:rsid w:val="000D4A97"/>
    <w:rsid w:val="000E19F9"/>
    <w:rsid w:val="000E6FB0"/>
    <w:rsid w:val="000F1EC5"/>
    <w:rsid w:val="000F23E3"/>
    <w:rsid w:val="00102C1A"/>
    <w:rsid w:val="00103866"/>
    <w:rsid w:val="001038E6"/>
    <w:rsid w:val="00123CBF"/>
    <w:rsid w:val="00130CF7"/>
    <w:rsid w:val="00132A53"/>
    <w:rsid w:val="00137008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3EDC"/>
    <w:rsid w:val="00184B51"/>
    <w:rsid w:val="0019175F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7C69"/>
    <w:rsid w:val="001E2818"/>
    <w:rsid w:val="001F13F3"/>
    <w:rsid w:val="001F7C67"/>
    <w:rsid w:val="00200186"/>
    <w:rsid w:val="00204982"/>
    <w:rsid w:val="00204BE6"/>
    <w:rsid w:val="00205518"/>
    <w:rsid w:val="0021260B"/>
    <w:rsid w:val="002160DD"/>
    <w:rsid w:val="002424AE"/>
    <w:rsid w:val="00246040"/>
    <w:rsid w:val="0024651A"/>
    <w:rsid w:val="002520D3"/>
    <w:rsid w:val="00254C80"/>
    <w:rsid w:val="002646A9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2F0999"/>
    <w:rsid w:val="0030165A"/>
    <w:rsid w:val="00304AF4"/>
    <w:rsid w:val="00330C4A"/>
    <w:rsid w:val="00350F7F"/>
    <w:rsid w:val="0035131E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1F74"/>
    <w:rsid w:val="003D5268"/>
    <w:rsid w:val="003E08A6"/>
    <w:rsid w:val="003F3089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275BF"/>
    <w:rsid w:val="004360F0"/>
    <w:rsid w:val="00437874"/>
    <w:rsid w:val="0044383E"/>
    <w:rsid w:val="0044534F"/>
    <w:rsid w:val="004474FF"/>
    <w:rsid w:val="00450842"/>
    <w:rsid w:val="00454757"/>
    <w:rsid w:val="00466E44"/>
    <w:rsid w:val="00476BCA"/>
    <w:rsid w:val="00484B34"/>
    <w:rsid w:val="00485AA2"/>
    <w:rsid w:val="00486B50"/>
    <w:rsid w:val="00490133"/>
    <w:rsid w:val="0049194D"/>
    <w:rsid w:val="00495D3E"/>
    <w:rsid w:val="0049695F"/>
    <w:rsid w:val="00497E9C"/>
    <w:rsid w:val="004C0EB0"/>
    <w:rsid w:val="004D3002"/>
    <w:rsid w:val="004E2B3D"/>
    <w:rsid w:val="004E59C2"/>
    <w:rsid w:val="00502188"/>
    <w:rsid w:val="00506299"/>
    <w:rsid w:val="00521923"/>
    <w:rsid w:val="00523DF8"/>
    <w:rsid w:val="005274B8"/>
    <w:rsid w:val="005332C2"/>
    <w:rsid w:val="0053569B"/>
    <w:rsid w:val="00535961"/>
    <w:rsid w:val="00537FEB"/>
    <w:rsid w:val="00545642"/>
    <w:rsid w:val="005518EC"/>
    <w:rsid w:val="005728BD"/>
    <w:rsid w:val="00572FDC"/>
    <w:rsid w:val="005771E4"/>
    <w:rsid w:val="00577A3A"/>
    <w:rsid w:val="00595433"/>
    <w:rsid w:val="005A5CE2"/>
    <w:rsid w:val="005B4F9C"/>
    <w:rsid w:val="005C0546"/>
    <w:rsid w:val="005C38D1"/>
    <w:rsid w:val="005D3870"/>
    <w:rsid w:val="005D508B"/>
    <w:rsid w:val="005F2B31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863A7"/>
    <w:rsid w:val="006A2FA5"/>
    <w:rsid w:val="006B6289"/>
    <w:rsid w:val="006B738A"/>
    <w:rsid w:val="006C0211"/>
    <w:rsid w:val="006D0F9A"/>
    <w:rsid w:val="006D2CE1"/>
    <w:rsid w:val="006D6A07"/>
    <w:rsid w:val="006D7DE7"/>
    <w:rsid w:val="006E3E98"/>
    <w:rsid w:val="006E7CCF"/>
    <w:rsid w:val="00703B8B"/>
    <w:rsid w:val="0070673A"/>
    <w:rsid w:val="007075B6"/>
    <w:rsid w:val="00712F23"/>
    <w:rsid w:val="00732965"/>
    <w:rsid w:val="00743F70"/>
    <w:rsid w:val="007446E0"/>
    <w:rsid w:val="007473D7"/>
    <w:rsid w:val="00750FB7"/>
    <w:rsid w:val="00751ADA"/>
    <w:rsid w:val="007546F0"/>
    <w:rsid w:val="00754EDA"/>
    <w:rsid w:val="00761658"/>
    <w:rsid w:val="007734A3"/>
    <w:rsid w:val="0078274F"/>
    <w:rsid w:val="00796054"/>
    <w:rsid w:val="00797B69"/>
    <w:rsid w:val="007A0E35"/>
    <w:rsid w:val="007A1AA5"/>
    <w:rsid w:val="007A510A"/>
    <w:rsid w:val="007B3696"/>
    <w:rsid w:val="007B5E82"/>
    <w:rsid w:val="007C5061"/>
    <w:rsid w:val="007D0A2E"/>
    <w:rsid w:val="007D1B81"/>
    <w:rsid w:val="007D3743"/>
    <w:rsid w:val="007D44A8"/>
    <w:rsid w:val="007D4EC6"/>
    <w:rsid w:val="007E2FF1"/>
    <w:rsid w:val="007E47DE"/>
    <w:rsid w:val="007E5BE8"/>
    <w:rsid w:val="007F054E"/>
    <w:rsid w:val="007F5A2F"/>
    <w:rsid w:val="0080038E"/>
    <w:rsid w:val="00802AA7"/>
    <w:rsid w:val="008059F2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97EBB"/>
    <w:rsid w:val="008A263F"/>
    <w:rsid w:val="008A4C6F"/>
    <w:rsid w:val="008B1718"/>
    <w:rsid w:val="008B57F3"/>
    <w:rsid w:val="008D3502"/>
    <w:rsid w:val="008D6792"/>
    <w:rsid w:val="008F74DA"/>
    <w:rsid w:val="009103AC"/>
    <w:rsid w:val="009123D2"/>
    <w:rsid w:val="00916C40"/>
    <w:rsid w:val="00920E5C"/>
    <w:rsid w:val="00924C5B"/>
    <w:rsid w:val="00937BEF"/>
    <w:rsid w:val="009421A1"/>
    <w:rsid w:val="00947289"/>
    <w:rsid w:val="009559C9"/>
    <w:rsid w:val="00956192"/>
    <w:rsid w:val="00967727"/>
    <w:rsid w:val="00970865"/>
    <w:rsid w:val="00972A91"/>
    <w:rsid w:val="00991C66"/>
    <w:rsid w:val="009A150A"/>
    <w:rsid w:val="009A3649"/>
    <w:rsid w:val="009B02F7"/>
    <w:rsid w:val="009B7703"/>
    <w:rsid w:val="009C757B"/>
    <w:rsid w:val="009C7FD2"/>
    <w:rsid w:val="009D2143"/>
    <w:rsid w:val="009D2FFD"/>
    <w:rsid w:val="009D3DCE"/>
    <w:rsid w:val="009D656F"/>
    <w:rsid w:val="009F76FA"/>
    <w:rsid w:val="00A037E6"/>
    <w:rsid w:val="00A112ED"/>
    <w:rsid w:val="00A11FAC"/>
    <w:rsid w:val="00A17250"/>
    <w:rsid w:val="00A22922"/>
    <w:rsid w:val="00A24279"/>
    <w:rsid w:val="00A25AFE"/>
    <w:rsid w:val="00A36756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23A2"/>
    <w:rsid w:val="00B1507F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57BAE"/>
    <w:rsid w:val="00B73701"/>
    <w:rsid w:val="00B90D8E"/>
    <w:rsid w:val="00BA1282"/>
    <w:rsid w:val="00BA3690"/>
    <w:rsid w:val="00BA5AF6"/>
    <w:rsid w:val="00BB0250"/>
    <w:rsid w:val="00BB733D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14E0F"/>
    <w:rsid w:val="00D23784"/>
    <w:rsid w:val="00D30840"/>
    <w:rsid w:val="00D42D01"/>
    <w:rsid w:val="00D42E6E"/>
    <w:rsid w:val="00D4575C"/>
    <w:rsid w:val="00D4722D"/>
    <w:rsid w:val="00D47EEA"/>
    <w:rsid w:val="00D50EC3"/>
    <w:rsid w:val="00D52579"/>
    <w:rsid w:val="00D53C0B"/>
    <w:rsid w:val="00D571AB"/>
    <w:rsid w:val="00D601D9"/>
    <w:rsid w:val="00D62125"/>
    <w:rsid w:val="00D65B0E"/>
    <w:rsid w:val="00D66530"/>
    <w:rsid w:val="00D71233"/>
    <w:rsid w:val="00D84DBF"/>
    <w:rsid w:val="00D86BC3"/>
    <w:rsid w:val="00D87226"/>
    <w:rsid w:val="00D942A4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E05FAA"/>
    <w:rsid w:val="00E060D3"/>
    <w:rsid w:val="00E121F3"/>
    <w:rsid w:val="00E16CA3"/>
    <w:rsid w:val="00E170D0"/>
    <w:rsid w:val="00E3683E"/>
    <w:rsid w:val="00E416D2"/>
    <w:rsid w:val="00E41893"/>
    <w:rsid w:val="00E56C67"/>
    <w:rsid w:val="00E63512"/>
    <w:rsid w:val="00E64351"/>
    <w:rsid w:val="00E73EE3"/>
    <w:rsid w:val="00E76FB4"/>
    <w:rsid w:val="00E806F3"/>
    <w:rsid w:val="00E82180"/>
    <w:rsid w:val="00E9391A"/>
    <w:rsid w:val="00EA45D0"/>
    <w:rsid w:val="00EA787F"/>
    <w:rsid w:val="00EB3D55"/>
    <w:rsid w:val="00EB3F66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116BE"/>
    <w:rsid w:val="00F2703A"/>
    <w:rsid w:val="00F30C03"/>
    <w:rsid w:val="00F31D08"/>
    <w:rsid w:val="00F374EF"/>
    <w:rsid w:val="00F5360A"/>
    <w:rsid w:val="00F53F44"/>
    <w:rsid w:val="00F61CC6"/>
    <w:rsid w:val="00F677D5"/>
    <w:rsid w:val="00F907DE"/>
    <w:rsid w:val="00F924CE"/>
    <w:rsid w:val="00F94E7C"/>
    <w:rsid w:val="00F97992"/>
    <w:rsid w:val="00FA2D2A"/>
    <w:rsid w:val="00FB13CB"/>
    <w:rsid w:val="00FB6940"/>
    <w:rsid w:val="00FB749E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79916B56-6E7B-449A-A7A1-5FE3BF95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1944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Magda Ponichtera</cp:lastModifiedBy>
  <cp:revision>2</cp:revision>
  <cp:lastPrinted>2024-11-07T13:16:00Z</cp:lastPrinted>
  <dcterms:created xsi:type="dcterms:W3CDTF">2025-02-10T08:33:00Z</dcterms:created>
  <dcterms:modified xsi:type="dcterms:W3CDTF">2025-02-10T08:33:00Z</dcterms:modified>
</cp:coreProperties>
</file>